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szCs w:val="32"/>
        </w:rPr>
      </w:pPr>
      <w:r>
        <w:rPr>
          <w:rFonts w:hint="eastAsia" w:ascii="黑体" w:eastAsia="黑体"/>
          <w:sz w:val="32"/>
          <w:szCs w:val="32"/>
        </w:rPr>
        <w:t>附件2</w:t>
      </w:r>
    </w:p>
    <w:p>
      <w:pPr>
        <w:spacing w:line="500" w:lineRule="exact"/>
        <w:rPr>
          <w:rFonts w:hint="eastAsia" w:ascii="黑体" w:eastAsia="黑体"/>
          <w:sz w:val="32"/>
          <w:szCs w:val="32"/>
        </w:rPr>
      </w:pPr>
    </w:p>
    <w:p>
      <w:pPr>
        <w:widowControl/>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海南软件职业技术学院2019年人才招聘需求计划表</w:t>
      </w:r>
    </w:p>
    <w:p>
      <w:pPr>
        <w:widowControl/>
        <w:jc w:val="center"/>
        <w:rPr>
          <w:rFonts w:hint="eastAsia" w:ascii="楷体_GB2312" w:hAnsi="宋体" w:eastAsia="楷体_GB2312" w:cs="宋体"/>
          <w:bCs/>
          <w:color w:val="000000"/>
          <w:kern w:val="0"/>
          <w:sz w:val="44"/>
          <w:szCs w:val="44"/>
        </w:rPr>
      </w:pPr>
      <w:r>
        <w:rPr>
          <w:rFonts w:hint="eastAsia" w:ascii="楷体_GB2312" w:hAnsi="宋体" w:eastAsia="楷体_GB2312" w:cs="宋体"/>
          <w:bCs/>
          <w:color w:val="000000"/>
          <w:kern w:val="0"/>
          <w:sz w:val="32"/>
          <w:szCs w:val="32"/>
        </w:rPr>
        <w:t>（专任教师、教辅专业技术及辅导员，共20人）</w:t>
      </w:r>
    </w:p>
    <w:tbl>
      <w:tblPr>
        <w:tblStyle w:val="3"/>
        <w:tblW w:w="14560" w:type="dxa"/>
        <w:tblInd w:w="0" w:type="dxa"/>
        <w:tblLayout w:type="fixed"/>
        <w:tblCellMar>
          <w:top w:w="0" w:type="dxa"/>
          <w:left w:w="108" w:type="dxa"/>
          <w:bottom w:w="0" w:type="dxa"/>
          <w:right w:w="108" w:type="dxa"/>
        </w:tblCellMar>
      </w:tblPr>
      <w:tblGrid>
        <w:gridCol w:w="1383"/>
        <w:gridCol w:w="1278"/>
        <w:gridCol w:w="565"/>
        <w:gridCol w:w="568"/>
        <w:gridCol w:w="990"/>
        <w:gridCol w:w="1701"/>
        <w:gridCol w:w="1418"/>
        <w:gridCol w:w="1706"/>
        <w:gridCol w:w="4109"/>
        <w:gridCol w:w="842"/>
      </w:tblGrid>
      <w:tr>
        <w:tblPrEx>
          <w:tblLayout w:type="fixed"/>
          <w:tblCellMar>
            <w:top w:w="0" w:type="dxa"/>
            <w:left w:w="108" w:type="dxa"/>
            <w:bottom w:w="0" w:type="dxa"/>
            <w:right w:w="108" w:type="dxa"/>
          </w:tblCellMar>
        </w:tblPrEx>
        <w:trPr>
          <w:trHeight w:val="450" w:hRule="atLeast"/>
          <w:tblHead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部门</w:t>
            </w:r>
          </w:p>
        </w:tc>
        <w:tc>
          <w:tcPr>
            <w:tcW w:w="12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招聘岗位</w:t>
            </w:r>
          </w:p>
        </w:tc>
        <w:tc>
          <w:tcPr>
            <w:tcW w:w="5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招聘人数</w:t>
            </w:r>
          </w:p>
        </w:tc>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性别</w:t>
            </w:r>
          </w:p>
        </w:tc>
        <w:tc>
          <w:tcPr>
            <w:tcW w:w="581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资格条件</w:t>
            </w:r>
          </w:p>
        </w:tc>
        <w:tc>
          <w:tcPr>
            <w:tcW w:w="41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岗位工作要求</w:t>
            </w:r>
          </w:p>
        </w:tc>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
                <w:color w:val="000000"/>
                <w:kern w:val="0"/>
                <w:szCs w:val="21"/>
              </w:rPr>
            </w:pPr>
            <w:r>
              <w:rPr>
                <w:rFonts w:hint="eastAsia" w:ascii="宋体" w:hAnsi="宋体" w:cs="宋体"/>
                <w:b/>
                <w:color w:val="000000"/>
                <w:kern w:val="0"/>
                <w:szCs w:val="21"/>
              </w:rPr>
              <w:t>招聘</w:t>
            </w:r>
          </w:p>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方式</w:t>
            </w:r>
          </w:p>
        </w:tc>
      </w:tr>
      <w:tr>
        <w:tblPrEx>
          <w:tblLayout w:type="fixed"/>
          <w:tblCellMar>
            <w:top w:w="0" w:type="dxa"/>
            <w:left w:w="108" w:type="dxa"/>
            <w:bottom w:w="0" w:type="dxa"/>
            <w:right w:w="108" w:type="dxa"/>
          </w:tblCellMar>
        </w:tblPrEx>
        <w:trPr>
          <w:trHeight w:val="375" w:hRule="atLeast"/>
          <w:tblHead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年龄</w:t>
            </w:r>
          </w:p>
        </w:tc>
        <w:tc>
          <w:tcPr>
            <w:tcW w:w="170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专业（方向）</w:t>
            </w:r>
          </w:p>
        </w:tc>
        <w:tc>
          <w:tcPr>
            <w:tcW w:w="141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学历</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学位</w:t>
            </w:r>
          </w:p>
        </w:tc>
        <w:tc>
          <w:tcPr>
            <w:tcW w:w="170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其他条件</w:t>
            </w:r>
          </w:p>
        </w:tc>
        <w:tc>
          <w:tcPr>
            <w:tcW w:w="41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1087" w:hRule="atLeast"/>
        </w:trPr>
        <w:tc>
          <w:tcPr>
            <w:tcW w:w="1383"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马克思主义学院</w:t>
            </w: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思想政治</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理论课教师</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马克思主义基本原理、马克思主义发展史、马克思主义中国化</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研究、思想政治教育</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中共党员</w:t>
            </w: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能够承担：思想道德修养与法律基础、毛泽东思想和中国特色社会主义理论体系概论、形势与政策、中国近现代史纲要、马克思主义基本原理等课程的教学科研任务</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1548" w:hRule="atLeast"/>
        </w:trPr>
        <w:tc>
          <w:tcPr>
            <w:tcW w:w="1383"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公共教学部</w:t>
            </w: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中文教师</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语言学及应用语言学、汉语言文字学、比较文学与世界文学</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全日制硕士研究生及</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4109" w:type="dxa"/>
            <w:tcBorders>
              <w:top w:val="nil"/>
              <w:left w:val="nil"/>
              <w:bottom w:val="single" w:color="auto" w:sz="4" w:space="0"/>
              <w:right w:val="single" w:color="auto" w:sz="4" w:space="0"/>
            </w:tcBorders>
            <w:noWrap w:val="0"/>
            <w:vAlign w:val="center"/>
          </w:tcPr>
          <w:p>
            <w:pPr>
              <w:widowControl/>
              <w:spacing w:line="320" w:lineRule="atLeas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能够承担：语文学科的教学工作，具有一定的教科研能力</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1119"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软件工程学院（人工智能学院）</w:t>
            </w: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软件教师1</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nil"/>
              <w:left w:val="single" w:color="auto" w:sz="4" w:space="0"/>
              <w:bottom w:val="single" w:color="000000"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nil"/>
              <w:left w:val="single" w:color="auto" w:sz="4" w:space="0"/>
              <w:bottom w:val="single" w:color="000000"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计算机科学与技术、软件工程、计算机与信息</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科学、智能科学与技术</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博士</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具备较强的项目实践能力，能承担人工智能项目建设任务</w:t>
            </w: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能够承担：《Java程序设计》《C语言程序设计》《Python程序设计》《分布式应用软件开发》等相关课程教学任务；项目开发与管理任务；带领青年教师开展教科研工作</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92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软件工程学院（人工智能学院）</w:t>
            </w: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软件教师2</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vMerge w:val="restart"/>
            <w:tcBorders>
              <w:top w:val="nil"/>
              <w:left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vMerge w:val="restart"/>
            <w:tcBorders>
              <w:top w:val="nil"/>
              <w:left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计算机科学与技术、计算机软件与理论、软件</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工程</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全日制硕士研究生及</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能够承担：《软件工程》《面向对象程序设计》《Java企业级应用》等软件工程相关专业课程教学、实训和教科研任务</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2175"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软件教师3</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990" w:type="dxa"/>
            <w:vMerge w:val="continue"/>
            <w:tcBorders>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计算机科学与技术、计算机软件与理论、软件</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工程</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全日制硕士研究生及</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有大数据方向</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工作经验者优先</w:t>
            </w: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能够承担：《Java程序设计》《C语言程序设计》《Python程序设计》《Hadoop技术》《Spark编程技术》《Hive》《Zookeeper》《大数据分析与处理》《大数据可视化》等相关课程教学任务、指导学生实训、教科研任务</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841" w:hRule="atLeast"/>
        </w:trPr>
        <w:tc>
          <w:tcPr>
            <w:tcW w:w="1383" w:type="dxa"/>
            <w:vMerge w:val="restart"/>
            <w:tcBorders>
              <w:top w:val="single" w:color="auto" w:sz="4" w:space="0"/>
              <w:left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经济管理学院</w:t>
            </w:r>
          </w:p>
        </w:tc>
        <w:tc>
          <w:tcPr>
            <w:tcW w:w="1278"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会计教师1</w:t>
            </w:r>
          </w:p>
        </w:tc>
        <w:tc>
          <w:tcPr>
            <w:tcW w:w="56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vMerge w:val="restart"/>
            <w:tcBorders>
              <w:top w:val="single" w:color="auto" w:sz="4" w:space="0"/>
              <w:left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会计（学）、</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财务管理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全日制本科毕业、学士学位及以上</w:t>
            </w:r>
          </w:p>
        </w:tc>
        <w:tc>
          <w:tcPr>
            <w:tcW w:w="1706"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具备中级会计师资格以上人员,年龄可以放宽至40周岁</w:t>
            </w:r>
          </w:p>
        </w:tc>
        <w:tc>
          <w:tcPr>
            <w:tcW w:w="4109" w:type="dxa"/>
            <w:tcBorders>
              <w:top w:val="single" w:color="auto" w:sz="4" w:space="0"/>
              <w:left w:val="nil"/>
              <w:bottom w:val="single" w:color="auto" w:sz="4" w:space="0"/>
              <w:right w:val="single" w:color="auto" w:sz="4" w:space="0"/>
            </w:tcBorders>
            <w:noWrap w:val="0"/>
            <w:vAlign w:val="center"/>
          </w:tcPr>
          <w:p>
            <w:pPr>
              <w:spacing w:line="320" w:lineRule="atLeast"/>
              <w:rPr>
                <w:rFonts w:ascii="仿宋_GB2312" w:hAnsi="宋体" w:eastAsia="仿宋_GB2312" w:cs="宋体"/>
                <w:kern w:val="0"/>
                <w:szCs w:val="21"/>
              </w:rPr>
            </w:pPr>
            <w:r>
              <w:rPr>
                <w:rFonts w:hint="eastAsia" w:ascii="仿宋_GB2312" w:hAnsi="宋体" w:eastAsia="仿宋_GB2312" w:cs="宋体"/>
                <w:kern w:val="0"/>
                <w:szCs w:val="21"/>
              </w:rPr>
              <w:t>负责报销业务、基建核算及编制会计报表、</w:t>
            </w:r>
            <w:r>
              <w:rPr>
                <w:rFonts w:hint="eastAsia" w:ascii="仿宋_GB2312" w:hAnsi="宋体" w:eastAsia="仿宋_GB2312" w:cs="宋体"/>
                <w:color w:val="000000"/>
                <w:kern w:val="0"/>
                <w:szCs w:val="21"/>
              </w:rPr>
              <w:t>内控制度建设、财务信息化建设、财务业务培训、部门新闻宣传</w:t>
            </w:r>
            <w:r>
              <w:rPr>
                <w:rFonts w:hint="eastAsia" w:ascii="仿宋_GB2312" w:hAnsi="宋体" w:eastAsia="仿宋_GB2312" w:cs="宋体"/>
                <w:kern w:val="0"/>
                <w:szCs w:val="21"/>
              </w:rPr>
              <w:t>等，能够承担会计及相关课程教学任务，</w:t>
            </w:r>
            <w:r>
              <w:rPr>
                <w:rFonts w:hint="eastAsia" w:ascii="仿宋_GB2312" w:hAnsi="宋体" w:eastAsia="仿宋_GB2312" w:cs="宋体"/>
                <w:color w:val="000000"/>
                <w:kern w:val="0"/>
                <w:szCs w:val="21"/>
              </w:rPr>
              <w:t>录用后至少在财务处工作五年</w:t>
            </w:r>
          </w:p>
        </w:tc>
        <w:tc>
          <w:tcPr>
            <w:tcW w:w="842"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r>
      <w:tr>
        <w:tblPrEx>
          <w:tblLayout w:type="fixed"/>
          <w:tblCellMar>
            <w:top w:w="0" w:type="dxa"/>
            <w:left w:w="108" w:type="dxa"/>
            <w:bottom w:w="0" w:type="dxa"/>
            <w:right w:w="108" w:type="dxa"/>
          </w:tblCellMar>
        </w:tblPrEx>
        <w:trPr>
          <w:trHeight w:val="724" w:hRule="atLeast"/>
        </w:trPr>
        <w:tc>
          <w:tcPr>
            <w:tcW w:w="1383" w:type="dxa"/>
            <w:vMerge w:val="continue"/>
            <w:tcBorders>
              <w:left w:val="single" w:color="auto" w:sz="4" w:space="0"/>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会计教师2</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990" w:type="dxa"/>
            <w:vMerge w:val="continue"/>
            <w:tcBorders>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会计（学）、</w:t>
            </w:r>
          </w:p>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税务会计</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国际会计、涉外会计</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全日制硕士研究生及</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有海外留学背景者优先考虑</w:t>
            </w: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能够承担课程：税法、公司会计、管理会计、财务报表分析等</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833" w:hRule="atLeast"/>
        </w:trPr>
        <w:tc>
          <w:tcPr>
            <w:tcW w:w="1383"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经济管理学院</w:t>
            </w: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电子商务</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教师</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电子商务</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全日制硕士研究生及</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有海外留学背景者优先考虑</w:t>
            </w: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能够承担课程：跨境电商、电商运营、移动商务、网络营销、网店美工、网页设计等</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840" w:hRule="atLeast"/>
        </w:trPr>
        <w:tc>
          <w:tcPr>
            <w:tcW w:w="1383"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网络工程学院</w:t>
            </w:r>
            <w:bookmarkStart w:id="0" w:name="_GoBack"/>
            <w:bookmarkEnd w:id="0"/>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网络教师</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56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spacing w:line="320" w:lineRule="atLeast"/>
              <w:jc w:val="center"/>
              <w:rPr>
                <w:szCs w:val="21"/>
              </w:rPr>
            </w:pPr>
            <w:r>
              <w:rPr>
                <w:rFonts w:hint="eastAsia" w:ascii="仿宋_GB2312" w:hAnsi="宋体" w:eastAsia="仿宋_GB2312" w:cs="宋体"/>
                <w:kern w:val="0"/>
                <w:szCs w:val="21"/>
              </w:rPr>
              <w:t>网络技术</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全日制硕士研究生及</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能够承担：核心专业课程教学（网络攻击与防护、防火墙部署与维护、web应用安全、入侵检测与VPN等）计算机网络体系架构，Windows、Linux操作系统及数据库，有3年以上网络工程项目相关经验，能够承担项目管理、网络安全、无线网络、综合布线等方面的课程</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896" w:hRule="atLeast"/>
        </w:trPr>
        <w:tc>
          <w:tcPr>
            <w:tcW w:w="1383"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动画学院</w:t>
            </w: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数码教师1</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设计学、视觉传达设计、艺术</w:t>
            </w:r>
          </w:p>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设计</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全日制硕士研究生及</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能够承担：广告设计与制作专业《平面广告设计》《图形创意》《字体设计》《图案设计》《UI设计》等课程的教学工作，参与广告设计与制作专业建设</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1646" w:hRule="atLeast"/>
        </w:trPr>
        <w:tc>
          <w:tcPr>
            <w:tcW w:w="1383"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动画学院</w:t>
            </w:r>
          </w:p>
        </w:tc>
        <w:tc>
          <w:tcPr>
            <w:tcW w:w="127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数码教师2</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艺术设计、数字媒体艺术</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全日制硕士毕业、学士</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学位及以上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p>
        </w:tc>
        <w:tc>
          <w:tcPr>
            <w:tcW w:w="4109" w:type="dxa"/>
            <w:tcBorders>
              <w:top w:val="nil"/>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能够承担：《UI设计》《交互设计》《VR引擎地编制作》《模型设置》《渲染贴图》《3D特效》及等课程的教学工作；熟练使用虚幻4引擎、Unity3D等VR虚拟现实制作软件及交互技术，有丰富的行业工作经验(VR虚拟现实制作，游戏制作)；了解行业内各种软件特性；具备良好的色彩感觉和逻辑思维，对画面的整体视觉效果有较高的审美能力</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1607" w:hRule="atLeast"/>
        </w:trPr>
        <w:tc>
          <w:tcPr>
            <w:tcW w:w="1383" w:type="dxa"/>
            <w:tcBorders>
              <w:top w:val="nil"/>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动画学院</w:t>
            </w:r>
          </w:p>
        </w:tc>
        <w:tc>
          <w:tcPr>
            <w:tcW w:w="1278" w:type="dxa"/>
            <w:tcBorders>
              <w:top w:val="nil"/>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数码教师3</w:t>
            </w:r>
          </w:p>
        </w:tc>
        <w:tc>
          <w:tcPr>
            <w:tcW w:w="565" w:type="dxa"/>
            <w:tcBorders>
              <w:top w:val="nil"/>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nil"/>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nil"/>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nil"/>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kern w:val="0"/>
                <w:szCs w:val="21"/>
              </w:rPr>
            </w:pPr>
            <w:r>
              <w:rPr>
                <w:rFonts w:hint="eastAsia" w:ascii="仿宋_GB2312" w:hAnsi="宋体" w:eastAsia="仿宋_GB2312" w:cs="宋体"/>
                <w:kern w:val="0"/>
                <w:szCs w:val="21"/>
              </w:rPr>
              <w:t>美术教育、油画、艺术设计</w:t>
            </w:r>
          </w:p>
        </w:tc>
        <w:tc>
          <w:tcPr>
            <w:tcW w:w="1418" w:type="dxa"/>
            <w:tcBorders>
              <w:top w:val="nil"/>
              <w:left w:val="nil"/>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全日制硕士研究生及</w:t>
            </w:r>
          </w:p>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p>
        </w:tc>
        <w:tc>
          <w:tcPr>
            <w:tcW w:w="4109" w:type="dxa"/>
            <w:tcBorders>
              <w:top w:val="nil"/>
              <w:left w:val="nil"/>
              <w:bottom w:val="single" w:color="auto" w:sz="4" w:space="0"/>
              <w:right w:val="single" w:color="auto" w:sz="4" w:space="0"/>
            </w:tcBorders>
            <w:noWrap w:val="0"/>
            <w:vAlign w:val="center"/>
          </w:tcPr>
          <w:p>
            <w:pPr>
              <w:widowControl/>
              <w:spacing w:line="360" w:lineRule="atLeas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能够承担：《设计素描》《设计色彩》《设计基础》《速写》《手绘效果图》等课程的教学工作；绘画能力强，精通各类设计软件</w:t>
            </w:r>
          </w:p>
        </w:tc>
        <w:tc>
          <w:tcPr>
            <w:tcW w:w="842" w:type="dxa"/>
            <w:tcBorders>
              <w:top w:val="nil"/>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2620"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后勤处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校医室医生</w:t>
            </w:r>
          </w:p>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（教辅专业技术岗位）</w:t>
            </w:r>
          </w:p>
        </w:tc>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kern w:val="0"/>
                <w:szCs w:val="21"/>
              </w:rPr>
            </w:pPr>
            <w:r>
              <w:rPr>
                <w:rFonts w:hint="eastAsia" w:ascii="仿宋_GB2312" w:hAnsi="宋体" w:eastAsia="仿宋_GB2312" w:cs="宋体"/>
                <w:kern w:val="0"/>
                <w:szCs w:val="21"/>
              </w:rPr>
              <w:t>内科学</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全日制本科及以上</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具有执业医师</w:t>
            </w:r>
          </w:p>
          <w:p>
            <w:pPr>
              <w:widowControl/>
              <w:spacing w:line="36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专业技术资格</w:t>
            </w:r>
          </w:p>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left"/>
              <w:rPr>
                <w:rFonts w:ascii="仿宋_GB2312" w:hAnsi="宋体" w:eastAsia="仿宋_GB2312" w:cs="宋体"/>
                <w:kern w:val="0"/>
                <w:szCs w:val="21"/>
              </w:rPr>
            </w:pPr>
            <w:r>
              <w:rPr>
                <w:rFonts w:hint="eastAsia" w:ascii="仿宋_GB2312" w:hAnsi="宋体" w:eastAsia="仿宋_GB2312" w:cs="宋体"/>
                <w:kern w:val="0"/>
                <w:szCs w:val="21"/>
              </w:rPr>
              <w:t>熟悉学校师生的常见病及简单外伤处理并了解学校常见流行病的预防及处理，能为全校师生提供初步的急诊、医疗服务工作；负责学校师生的日常医疗管理工作，规划、组织学生年度体检，建立全面的师生健康档案；指导学校做好健康教育、建康管理、卫生管理及师生保障与各类制度的管理；独立工作能力强，有良好的沟通能力、团队协作精神</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r>
      <w:tr>
        <w:tblPrEx>
          <w:tblLayout w:type="fixed"/>
          <w:tblCellMar>
            <w:top w:w="0" w:type="dxa"/>
            <w:left w:w="108" w:type="dxa"/>
            <w:bottom w:w="0" w:type="dxa"/>
            <w:right w:w="108" w:type="dxa"/>
          </w:tblCellMar>
        </w:tblPrEx>
        <w:trPr>
          <w:trHeight w:val="930"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图书馆</w:t>
            </w:r>
          </w:p>
        </w:tc>
        <w:tc>
          <w:tcPr>
            <w:tcW w:w="1278"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采编部人员</w:t>
            </w:r>
          </w:p>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（教辅专业技术岗位）</w:t>
            </w:r>
          </w:p>
        </w:tc>
        <w:tc>
          <w:tcPr>
            <w:tcW w:w="565"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kern w:val="0"/>
                <w:szCs w:val="21"/>
              </w:rPr>
            </w:pPr>
            <w:r>
              <w:rPr>
                <w:rFonts w:hint="eastAsia" w:ascii="仿宋_GB2312" w:hAnsi="宋体" w:eastAsia="仿宋_GB2312" w:cs="宋体"/>
                <w:kern w:val="0"/>
                <w:szCs w:val="21"/>
              </w:rPr>
              <w:t>图书馆学、情报学、信息管理与信息系统</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全日制本科毕业、学士</w:t>
            </w:r>
          </w:p>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学位及以上</w:t>
            </w:r>
          </w:p>
        </w:tc>
        <w:tc>
          <w:tcPr>
            <w:tcW w:w="1706"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具有副研究馆员及以上职称</w:t>
            </w:r>
          </w:p>
          <w:p>
            <w:pPr>
              <w:widowControl/>
              <w:spacing w:line="36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人员，年龄可</w:t>
            </w:r>
          </w:p>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放宽到45周岁</w:t>
            </w:r>
          </w:p>
        </w:tc>
        <w:tc>
          <w:tcPr>
            <w:tcW w:w="4109" w:type="dxa"/>
            <w:tcBorders>
              <w:top w:val="single" w:color="auto" w:sz="4" w:space="0"/>
              <w:left w:val="nil"/>
              <w:bottom w:val="single" w:color="auto" w:sz="4" w:space="0"/>
              <w:right w:val="single" w:color="auto" w:sz="4" w:space="0"/>
            </w:tcBorders>
            <w:noWrap w:val="0"/>
            <w:vAlign w:val="center"/>
          </w:tcPr>
          <w:p>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有采编工作经验、科研能力强者优先</w:t>
            </w:r>
          </w:p>
        </w:tc>
        <w:tc>
          <w:tcPr>
            <w:tcW w:w="842"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考试</w:t>
            </w:r>
          </w:p>
        </w:tc>
      </w:tr>
      <w:tr>
        <w:tblPrEx>
          <w:tblLayout w:type="fixed"/>
          <w:tblCellMar>
            <w:top w:w="0" w:type="dxa"/>
            <w:left w:w="108" w:type="dxa"/>
            <w:bottom w:w="0" w:type="dxa"/>
            <w:right w:w="108" w:type="dxa"/>
          </w:tblCellMar>
        </w:tblPrEx>
        <w:trPr>
          <w:trHeight w:val="1139"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学生处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心理健康教育工作人员（教辅专业</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技术岗位）</w:t>
            </w:r>
          </w:p>
        </w:tc>
        <w:tc>
          <w:tcPr>
            <w:tcW w:w="56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35周岁及以下</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kern w:val="0"/>
                <w:szCs w:val="21"/>
              </w:rPr>
            </w:pPr>
            <w:r>
              <w:rPr>
                <w:rFonts w:hint="eastAsia" w:ascii="仿宋_GB2312" w:hAnsi="宋体" w:eastAsia="仿宋_GB2312" w:cs="宋体"/>
                <w:kern w:val="0"/>
                <w:szCs w:val="21"/>
              </w:rPr>
              <w:t>心理学类</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全日制硕士研究生及</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w:t>
            </w:r>
          </w:p>
        </w:tc>
        <w:tc>
          <w:tcPr>
            <w:tcW w:w="1706"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中共党员，有心理咨询资格</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w:t>
            </w:r>
          </w:p>
        </w:tc>
        <w:tc>
          <w:tcPr>
            <w:tcW w:w="4109" w:type="dxa"/>
            <w:tcBorders>
              <w:top w:val="single" w:color="auto" w:sz="4" w:space="0"/>
              <w:left w:val="nil"/>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协助做好学校大学生心理健康教育工作：承担个体心理咨询、团体心理辅导、参与危机干预；组织开展主题沙龙；心理健康中心其他项目</w:t>
            </w:r>
          </w:p>
        </w:tc>
        <w:tc>
          <w:tcPr>
            <w:tcW w:w="842"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2210" w:hRule="atLeast"/>
        </w:trPr>
        <w:tc>
          <w:tcPr>
            <w:tcW w:w="1383" w:type="dxa"/>
            <w:vMerge w:val="restart"/>
            <w:tcBorders>
              <w:top w:val="single" w:color="auto" w:sz="4" w:space="0"/>
              <w:left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学生处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辅导员1</w:t>
            </w:r>
          </w:p>
        </w:tc>
        <w:tc>
          <w:tcPr>
            <w:tcW w:w="56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男</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30周岁及以下</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全日制硕士研究生及</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w:t>
            </w:r>
          </w:p>
        </w:tc>
        <w:tc>
          <w:tcPr>
            <w:tcW w:w="1706"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中共党员,曾担任校（院）级学生会、团委部长以上干部（或班长、团支部书记）</w:t>
            </w:r>
          </w:p>
        </w:tc>
        <w:tc>
          <w:tcPr>
            <w:tcW w:w="4109" w:type="dxa"/>
            <w:tcBorders>
              <w:top w:val="single" w:color="auto" w:sz="4" w:space="0"/>
              <w:left w:val="nil"/>
              <w:bottom w:val="single" w:color="auto" w:sz="4" w:space="0"/>
              <w:right w:val="single" w:color="auto" w:sz="4" w:space="0"/>
            </w:tcBorders>
            <w:noWrap w:val="0"/>
            <w:vAlign w:val="center"/>
          </w:tcPr>
          <w:p>
            <w:pPr>
              <w:widowControl/>
              <w:spacing w:line="320" w:lineRule="atLeas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思想政治理论扎实，有较强组织能力，管理能力，协调沟通能力，善于处理学生突发事件，做好学生日常思想政治教育、学生课外活动开展、学风建设、心理健康教育、资助及日常教育管理与服务等工作，需入住男生公寓宿舍至少入住3年</w:t>
            </w:r>
          </w:p>
        </w:tc>
        <w:tc>
          <w:tcPr>
            <w:tcW w:w="842"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r>
        <w:tblPrEx>
          <w:tblLayout w:type="fixed"/>
          <w:tblCellMar>
            <w:top w:w="0" w:type="dxa"/>
            <w:left w:w="108" w:type="dxa"/>
            <w:bottom w:w="0" w:type="dxa"/>
            <w:right w:w="108" w:type="dxa"/>
          </w:tblCellMar>
        </w:tblPrEx>
        <w:trPr>
          <w:trHeight w:val="2256" w:hRule="atLeast"/>
        </w:trPr>
        <w:tc>
          <w:tcPr>
            <w:tcW w:w="1383" w:type="dxa"/>
            <w:vMerge w:val="continue"/>
            <w:tcBorders>
              <w:left w:val="single" w:color="auto" w:sz="4" w:space="0"/>
              <w:bottom w:val="single" w:color="auto" w:sz="4" w:space="0"/>
              <w:right w:val="single" w:color="auto" w:sz="4" w:space="0"/>
            </w:tcBorders>
            <w:noWrap w:val="0"/>
            <w:vAlign w:val="center"/>
          </w:tcPr>
          <w:p>
            <w:pPr>
              <w:widowControl/>
              <w:spacing w:line="320" w:lineRule="atLeast"/>
              <w:jc w:val="left"/>
              <w:rPr>
                <w:rFonts w:ascii="仿宋_GB2312" w:hAnsi="宋体" w:eastAsia="仿宋_GB2312" w:cs="宋体"/>
                <w:color w:val="000000"/>
                <w:kern w:val="0"/>
                <w:szCs w:val="21"/>
              </w:rPr>
            </w:pPr>
          </w:p>
        </w:tc>
        <w:tc>
          <w:tcPr>
            <w:tcW w:w="1278" w:type="dxa"/>
            <w:tcBorders>
              <w:top w:val="nil"/>
              <w:left w:val="single" w:color="auto" w:sz="4" w:space="0"/>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辅导员2</w:t>
            </w:r>
          </w:p>
        </w:tc>
        <w:tc>
          <w:tcPr>
            <w:tcW w:w="565"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68"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女</w:t>
            </w:r>
          </w:p>
        </w:tc>
        <w:tc>
          <w:tcPr>
            <w:tcW w:w="990"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30周岁及以下</w:t>
            </w:r>
          </w:p>
        </w:tc>
        <w:tc>
          <w:tcPr>
            <w:tcW w:w="1701"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1418"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全日制硕士研究生及</w:t>
            </w:r>
          </w:p>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w:t>
            </w:r>
          </w:p>
        </w:tc>
        <w:tc>
          <w:tcPr>
            <w:tcW w:w="1706"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中共党员,曾担任校（院）级学生会、团委部长以上干部（或班长、团支部书记）</w:t>
            </w:r>
          </w:p>
        </w:tc>
        <w:tc>
          <w:tcPr>
            <w:tcW w:w="4109" w:type="dxa"/>
            <w:tcBorders>
              <w:top w:val="nil"/>
              <w:left w:val="nil"/>
              <w:bottom w:val="single" w:color="auto" w:sz="4" w:space="0"/>
              <w:right w:val="single" w:color="auto" w:sz="4" w:space="0"/>
            </w:tcBorders>
            <w:noWrap w:val="0"/>
            <w:vAlign w:val="center"/>
          </w:tcPr>
          <w:p>
            <w:pPr>
              <w:widowControl/>
              <w:spacing w:line="320" w:lineRule="atLeas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思想政治理论扎实，有较强组织能力，管理能力，协调沟通能力，善于处理学生突发事件，做好学生日常思想政治教育、学生课外活动开展、学风建设、心理健康教育、资助及日常教育管理与服务等工作，需入住女生公寓宿舍至少入住3年</w:t>
            </w:r>
          </w:p>
        </w:tc>
        <w:tc>
          <w:tcPr>
            <w:tcW w:w="842" w:type="dxa"/>
            <w:tcBorders>
              <w:top w:val="nil"/>
              <w:left w:val="nil"/>
              <w:bottom w:val="single" w:color="auto" w:sz="4" w:space="0"/>
              <w:right w:val="single" w:color="auto" w:sz="4" w:space="0"/>
            </w:tcBorders>
            <w:noWrap w:val="0"/>
            <w:vAlign w:val="center"/>
          </w:tcPr>
          <w:p>
            <w:pPr>
              <w:widowControl/>
              <w:spacing w:line="32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w:t>
            </w:r>
          </w:p>
        </w:tc>
      </w:tr>
    </w:tbl>
    <w:p>
      <w:pPr>
        <w:spacing w:line="500" w:lineRule="exact"/>
        <w:rPr>
          <w:rFonts w:ascii="黑体" w:eastAsia="黑体"/>
          <w:sz w:val="32"/>
          <w:szCs w:val="32"/>
        </w:rPr>
        <w:sectPr>
          <w:pgSz w:w="16838" w:h="11906" w:orient="landscape"/>
          <w:pgMar w:top="1247" w:right="1247" w:bottom="1247" w:left="1247" w:header="851" w:footer="992" w:gutter="0"/>
          <w:pgNumType w:fmt="numberInDash"/>
          <w:cols w:space="720" w:num="1"/>
          <w:docGrid w:type="lines" w:linePitch="312" w:charSpace="0"/>
        </w:sectPr>
      </w:pPr>
    </w:p>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B1E2C"/>
    <w:rsid w:val="7C9F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客服-黄夏迎</cp:lastModifiedBy>
  <dcterms:modified xsi:type="dcterms:W3CDTF">2019-08-24T03:18:18Z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