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60"/>
        <w:gridCol w:w="700"/>
        <w:gridCol w:w="660"/>
        <w:gridCol w:w="1220"/>
        <w:gridCol w:w="1020"/>
        <w:gridCol w:w="1260"/>
        <w:gridCol w:w="1300"/>
        <w:gridCol w:w="11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48"/>
                <w:szCs w:val="48"/>
                <w:bdr w:val="none" w:color="auto" w:sz="0" w:space="0"/>
              </w:rPr>
              <w:t>海南医院2020年聘用制人员招聘计划表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5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技术资格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卫勤部助理员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医疗/医技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临床医学或公共卫生管理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军队伤病员管理科助理员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医疗/医技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临床医学或医学相关其他专业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质量管理科助理员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医疗/医技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临床医学、公共卫生管理、信息工程、统计等相关专业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医疗风险管理科助理员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医疗/医技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医学、法学、公共管理学、信息工程等相关专业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门诊部急诊医学科医师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门诊部医学心理科主治医师及以上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精神卫生学或临床医学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门诊部日间诊疗科医师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门诊部住院与病案管理科技师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信息管理与信息系统、计算机、管理、统计相关专业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激光医学中心医师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硕、博期间从事激光医学研究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激光医学中心技师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临床医学或康复医学与理疗学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获得技师资格证书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有临床工作经历者优先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热带医学科医师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有1年及以上三甲医院热带医学科工作或实习经历优先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获得技师资格证书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有2年及以上三甲医院工作经历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呼吸与危重症医学科主治医师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呼吸与危重症医学科技师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消化内科副主任医师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获得副主任医师资格证书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老年医学科医师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神经病学、老年医学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肾脏病科主治医师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肾脏病学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血液科医师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血液学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肿瘤内科医师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介入治疗科医师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放射治疗科医师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临床医学（或肿瘤学）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全科医学科主治医师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呼吸内科、内分泌科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健康医学科主治医师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有3年及以上三甲医院工作经历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皮肤科副主任医师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中西医结合（皮肤方向）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获得副主任医师资格证书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有5年以上专科工作经历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临床医学、医学检验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骨科中级康复治疗师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获得中级康复治疗师资格证书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有3年及以上三甲医院工作经历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烧伤整形科主治医师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烧伤整形学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烧伤整形科医师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烧伤整形学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血管外科医师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血管外科学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肝胆外科医师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肝胆外科学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耳鼻咽喉头颈外科主治医师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耳鼻咽喉头颈外科医师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耳鼻咽喉头颈外科听力师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听力相关专业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全日制研究生及以上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产科学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妇产科生殖医学主管技师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组织胚胎学或动物学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获得主管技师及以上资格证书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儿内科主治医师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获得主治医师资格证书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已完成规范化培训并获得规培证书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儿内科副主任医师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获得副主任医师资格证书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BatangChe" w:hAnsi="BatangChe" w:eastAsia="BatangChe" w:cs="BatangChe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7B95"/>
    <w:rsid w:val="73C1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2020-07-22T02:46:00Z</dcterms:created>
  <dc:creator>Administrator</dc:creator>
  <cp:lastModifiedBy>Administrator</cp:lastModifiedBy>
  <dcterms:modified xsi:type="dcterms:W3CDTF">2020-07-22T02:47:47Z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